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586" w:rsidRDefault="00420586">
      <w:r>
        <w:rPr>
          <w:noProof/>
        </w:rPr>
        <w:drawing>
          <wp:inline distT="0" distB="0" distL="0" distR="0" wp14:anchorId="51AEF792">
            <wp:extent cx="1152525"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2525" cy="885825"/>
                    </a:xfrm>
                    <a:prstGeom prst="rect">
                      <a:avLst/>
                    </a:prstGeom>
                    <a:noFill/>
                  </pic:spPr>
                </pic:pic>
              </a:graphicData>
            </a:graphic>
          </wp:inline>
        </w:drawing>
      </w:r>
    </w:p>
    <w:p w:rsidR="00420586" w:rsidRDefault="00420586">
      <w:r>
        <w:rPr>
          <w:noProof/>
        </w:rPr>
        <w:drawing>
          <wp:inline distT="0" distB="0" distL="0" distR="0" wp14:anchorId="5FF9D16E">
            <wp:extent cx="5723890" cy="2105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3890" cy="2105025"/>
                    </a:xfrm>
                    <a:prstGeom prst="rect">
                      <a:avLst/>
                    </a:prstGeom>
                    <a:noFill/>
                  </pic:spPr>
                </pic:pic>
              </a:graphicData>
            </a:graphic>
          </wp:inline>
        </w:drawing>
      </w:r>
    </w:p>
    <w:tbl>
      <w:tblPr>
        <w:tblW w:w="5000" w:type="pct"/>
        <w:tblCellSpacing w:w="0" w:type="dxa"/>
        <w:tblCellMar>
          <w:left w:w="0" w:type="dxa"/>
          <w:right w:w="0" w:type="dxa"/>
        </w:tblCellMar>
        <w:tblLook w:val="04A0" w:firstRow="1" w:lastRow="0" w:firstColumn="1" w:lastColumn="0" w:noHBand="0" w:noVBand="1"/>
      </w:tblPr>
      <w:tblGrid>
        <w:gridCol w:w="9026"/>
      </w:tblGrid>
      <w:tr w:rsidR="00420586" w:rsidTr="00420586">
        <w:trPr>
          <w:tblCellSpacing w:w="0" w:type="dxa"/>
        </w:trPr>
        <w:tc>
          <w:tcPr>
            <w:tcW w:w="0" w:type="auto"/>
            <w:vAlign w:val="center"/>
            <w:hideMark/>
          </w:tcPr>
          <w:p w:rsidR="00420586" w:rsidRDefault="00420586"/>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0"/>
              <w:gridCol w:w="8726"/>
              <w:gridCol w:w="150"/>
            </w:tblGrid>
            <w:tr w:rsidR="00420586">
              <w:trPr>
                <w:tblCellSpacing w:w="0" w:type="dxa"/>
              </w:trPr>
              <w:tc>
                <w:tcPr>
                  <w:tcW w:w="150" w:type="dxa"/>
                  <w:shd w:val="clear" w:color="auto" w:fill="FFFFFF"/>
                  <w:vAlign w:val="center"/>
                  <w:hideMark/>
                </w:tcPr>
                <w:p w:rsidR="00420586" w:rsidRDefault="00420586">
                  <w:r>
                    <w:t> </w:t>
                  </w:r>
                </w:p>
              </w:tc>
              <w:tc>
                <w:tcPr>
                  <w:tcW w:w="0" w:type="auto"/>
                  <w:shd w:val="clear" w:color="auto" w:fill="FFFFFF"/>
                  <w:vAlign w:val="cente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8726"/>
                  </w:tblGrid>
                  <w:tr w:rsidR="00420586">
                    <w:trPr>
                      <w:tblCellSpacing w:w="0" w:type="dxa"/>
                    </w:trPr>
                    <w:tc>
                      <w:tcPr>
                        <w:tcW w:w="0" w:type="auto"/>
                        <w:shd w:val="clear" w:color="auto" w:fill="FFFFFF"/>
                        <w:vAlign w:val="center"/>
                        <w:hideMark/>
                      </w:tcPr>
                      <w:p w:rsidR="00420586" w:rsidRDefault="00420586">
                        <w:pPr>
                          <w:spacing w:line="270" w:lineRule="exact"/>
                          <w:rPr>
                            <w:rFonts w:ascii="Arial" w:hAnsi="Arial" w:cs="Arial"/>
                            <w:color w:val="770C29"/>
                          </w:rPr>
                        </w:pPr>
                        <w:hyperlink r:id="rId7" w:history="1">
                          <w:r>
                            <w:rPr>
                              <w:rStyle w:val="Hyperlink"/>
                              <w:rFonts w:ascii="Arial" w:hAnsi="Arial" w:cs="Arial"/>
                              <w:color w:val="770C29"/>
                              <w:u w:val="none"/>
                            </w:rPr>
                            <w:t>The LMA publishes Green Loan Principles</w:t>
                          </w:r>
                        </w:hyperlink>
                        <w:r>
                          <w:rPr>
                            <w:rFonts w:ascii="Arial" w:hAnsi="Arial" w:cs="Arial"/>
                            <w:color w:val="770C29"/>
                          </w:rPr>
                          <w:t xml:space="preserve"> </w:t>
                        </w:r>
                      </w:p>
                    </w:tc>
                  </w:tr>
                  <w:tr w:rsidR="00420586">
                    <w:trPr>
                      <w:trHeight w:val="75"/>
                      <w:tblCellSpacing w:w="0" w:type="dxa"/>
                    </w:trPr>
                    <w:tc>
                      <w:tcPr>
                        <w:tcW w:w="0" w:type="auto"/>
                        <w:shd w:val="clear" w:color="auto" w:fill="FFFFFF"/>
                        <w:vAlign w:val="center"/>
                        <w:hideMark/>
                      </w:tcPr>
                      <w:p w:rsidR="00420586" w:rsidRDefault="00420586">
                        <w:pPr>
                          <w:spacing w:line="75" w:lineRule="exact"/>
                          <w:rPr>
                            <w:sz w:val="2"/>
                            <w:szCs w:val="2"/>
                          </w:rPr>
                        </w:pPr>
                        <w:r>
                          <w:rPr>
                            <w:sz w:val="2"/>
                            <w:szCs w:val="2"/>
                          </w:rPr>
                          <w:t> </w:t>
                        </w:r>
                      </w:p>
                    </w:tc>
                  </w:tr>
                  <w:tr w:rsidR="00420586">
                    <w:trPr>
                      <w:trHeight w:val="15"/>
                      <w:tblCellSpacing w:w="0" w:type="dxa"/>
                    </w:trPr>
                    <w:tc>
                      <w:tcPr>
                        <w:tcW w:w="0" w:type="auto"/>
                        <w:shd w:val="clear" w:color="auto" w:fill="A99F95"/>
                        <w:vAlign w:val="center"/>
                        <w:hideMark/>
                      </w:tcPr>
                      <w:p w:rsidR="00420586" w:rsidRDefault="00420586">
                        <w:pPr>
                          <w:spacing w:line="15" w:lineRule="exact"/>
                          <w:rPr>
                            <w:sz w:val="2"/>
                            <w:szCs w:val="2"/>
                          </w:rPr>
                        </w:pPr>
                        <w:r>
                          <w:rPr>
                            <w:sz w:val="2"/>
                            <w:szCs w:val="2"/>
                          </w:rPr>
                          <w:t> </w:t>
                        </w:r>
                      </w:p>
                    </w:tc>
                  </w:tr>
                  <w:tr w:rsidR="00420586">
                    <w:trPr>
                      <w:trHeight w:val="75"/>
                      <w:tblCellSpacing w:w="0" w:type="dxa"/>
                    </w:trPr>
                    <w:tc>
                      <w:tcPr>
                        <w:tcW w:w="0" w:type="auto"/>
                        <w:shd w:val="clear" w:color="auto" w:fill="FFFFFF"/>
                        <w:vAlign w:val="center"/>
                        <w:hideMark/>
                      </w:tcPr>
                      <w:p w:rsidR="00420586" w:rsidRDefault="00420586">
                        <w:pPr>
                          <w:spacing w:line="75" w:lineRule="exact"/>
                          <w:rPr>
                            <w:sz w:val="2"/>
                            <w:szCs w:val="2"/>
                          </w:rPr>
                        </w:pPr>
                        <w:r>
                          <w:rPr>
                            <w:sz w:val="2"/>
                            <w:szCs w:val="2"/>
                          </w:rPr>
                          <w:t> </w:t>
                        </w:r>
                      </w:p>
                    </w:tc>
                  </w:tr>
                </w:tbl>
                <w:p w:rsidR="00420586" w:rsidRDefault="00420586">
                  <w:pPr>
                    <w:rPr>
                      <w:rFonts w:eastAsia="Times New Roman"/>
                      <w:sz w:val="20"/>
                      <w:szCs w:val="20"/>
                    </w:rPr>
                  </w:pPr>
                </w:p>
              </w:tc>
              <w:tc>
                <w:tcPr>
                  <w:tcW w:w="150" w:type="dxa"/>
                  <w:shd w:val="clear" w:color="auto" w:fill="FFFFFF"/>
                  <w:vAlign w:val="center"/>
                  <w:hideMark/>
                </w:tcPr>
                <w:p w:rsidR="00420586" w:rsidRDefault="00420586">
                  <w:r>
                    <w:t> </w:t>
                  </w:r>
                </w:p>
              </w:tc>
            </w:tr>
          </w:tbl>
          <w:p w:rsidR="00420586" w:rsidRDefault="00420586">
            <w:pPr>
              <w:rPr>
                <w:rFonts w:eastAsia="Times New Roman"/>
                <w:sz w:val="20"/>
                <w:szCs w:val="20"/>
              </w:rPr>
            </w:pPr>
          </w:p>
        </w:tc>
      </w:tr>
    </w:tbl>
    <w:p w:rsidR="00420586" w:rsidRDefault="00420586" w:rsidP="00420586">
      <w:pPr>
        <w:rPr>
          <w:vanish/>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26"/>
      </w:tblGrid>
      <w:tr w:rsidR="00420586" w:rsidTr="00420586">
        <w:trPr>
          <w:trHeight w:val="75"/>
          <w:tblCellSpacing w:w="0" w:type="dxa"/>
        </w:trPr>
        <w:tc>
          <w:tcPr>
            <w:tcW w:w="0" w:type="auto"/>
            <w:shd w:val="clear" w:color="auto" w:fill="FFFFFF"/>
            <w:vAlign w:val="center"/>
            <w:hideMark/>
          </w:tcPr>
          <w:p w:rsidR="00420586" w:rsidRDefault="00420586">
            <w:pPr>
              <w:spacing w:line="75" w:lineRule="exact"/>
              <w:rPr>
                <w:sz w:val="2"/>
                <w:szCs w:val="2"/>
              </w:rPr>
            </w:pPr>
            <w:r>
              <w:rPr>
                <w:sz w:val="2"/>
                <w:szCs w:val="2"/>
              </w:rPr>
              <w:t> </w:t>
            </w:r>
          </w:p>
        </w:tc>
      </w:tr>
      <w:tr w:rsidR="00420586" w:rsidTr="00420586">
        <w:trPr>
          <w:tblCellSpacing w:w="0" w:type="dxa"/>
        </w:trPr>
        <w:tc>
          <w:tcPr>
            <w:tcW w:w="0" w:type="auto"/>
            <w:shd w:val="clear" w:color="auto" w:fill="FFFFFF"/>
            <w:vAlign w:val="cente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0"/>
              <w:gridCol w:w="8726"/>
              <w:gridCol w:w="150"/>
            </w:tblGrid>
            <w:tr w:rsidR="00420586">
              <w:trPr>
                <w:tblCellSpacing w:w="0" w:type="dxa"/>
              </w:trPr>
              <w:tc>
                <w:tcPr>
                  <w:tcW w:w="150" w:type="dxa"/>
                  <w:shd w:val="clear" w:color="auto" w:fill="FFFFFF"/>
                  <w:vAlign w:val="center"/>
                  <w:hideMark/>
                </w:tcPr>
                <w:p w:rsidR="00420586" w:rsidRDefault="00420586">
                  <w:r>
                    <w:t> </w:t>
                  </w:r>
                </w:p>
              </w:tc>
              <w:tc>
                <w:tcPr>
                  <w:tcW w:w="0" w:type="auto"/>
                  <w:shd w:val="clear" w:color="auto" w:fill="FFFFFF"/>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8726"/>
                  </w:tblGrid>
                  <w:tr w:rsidR="00420586">
                    <w:trPr>
                      <w:tblCellSpacing w:w="0" w:type="dxa"/>
                    </w:trPr>
                    <w:tc>
                      <w:tcPr>
                        <w:tcW w:w="0" w:type="auto"/>
                        <w:vAlign w:val="center"/>
                        <w:hideMark/>
                      </w:tcPr>
                      <w:p w:rsidR="00420586" w:rsidRDefault="00420586">
                        <w:pPr>
                          <w:spacing w:after="100" w:afterAutospacing="1" w:line="225" w:lineRule="exact"/>
                          <w:rPr>
                            <w:rFonts w:ascii="Arial" w:hAnsi="Arial" w:cs="Arial"/>
                            <w:color w:val="24231D"/>
                            <w:sz w:val="18"/>
                            <w:szCs w:val="18"/>
                          </w:rPr>
                        </w:pPr>
                        <w:r>
                          <w:rPr>
                            <w:rFonts w:ascii="Arial" w:hAnsi="Arial" w:cs="Arial"/>
                            <w:color w:val="24231D"/>
                            <w:sz w:val="18"/>
                            <w:szCs w:val="18"/>
                          </w:rPr>
                          <w:t xml:space="preserve">The LMA has, together with the APLMA, launched the </w:t>
                        </w:r>
                        <w:hyperlink r:id="rId8" w:history="1">
                          <w:r>
                            <w:rPr>
                              <w:rStyle w:val="Hyperlink"/>
                              <w:rFonts w:ascii="Arial" w:hAnsi="Arial" w:cs="Arial"/>
                              <w:color w:val="770C29"/>
                              <w:sz w:val="18"/>
                              <w:szCs w:val="18"/>
                            </w:rPr>
                            <w:t>Green Lo</w:t>
                          </w:r>
                          <w:bookmarkStart w:id="0" w:name="_GoBack"/>
                          <w:bookmarkEnd w:id="0"/>
                          <w:r>
                            <w:rPr>
                              <w:rStyle w:val="Hyperlink"/>
                              <w:rFonts w:ascii="Arial" w:hAnsi="Arial" w:cs="Arial"/>
                              <w:color w:val="770C29"/>
                              <w:sz w:val="18"/>
                              <w:szCs w:val="18"/>
                            </w:rPr>
                            <w:t>an Principles (GLP)</w:t>
                          </w:r>
                        </w:hyperlink>
                        <w:r>
                          <w:rPr>
                            <w:rFonts w:ascii="Arial" w:hAnsi="Arial" w:cs="Arial"/>
                            <w:color w:val="24231D"/>
                            <w:sz w:val="18"/>
                            <w:szCs w:val="18"/>
                          </w:rPr>
                          <w:t xml:space="preserve"> with the support of the International Capital Market Association (ICMA). The GLP aim to create a high-level framework of market standards and guidelines, providing a consistent methodology for use across the wholesale green loan market, whilst allowing the loan product to retain its flexibility, and preserving the integrity of the green loan market while it develops. The GLP build on and refer to the Green Bond Principles (GBP) of the ICMA, with a view to promoting consistency across financial markets.   </w:t>
                        </w:r>
                        <w:r>
                          <w:rPr>
                            <w:rFonts w:ascii="Arial" w:hAnsi="Arial" w:cs="Arial"/>
                            <w:color w:val="24231D"/>
                            <w:sz w:val="18"/>
                            <w:szCs w:val="18"/>
                          </w:rPr>
                          <w:br/>
                        </w:r>
                        <w:r>
                          <w:rPr>
                            <w:rFonts w:ascii="Arial" w:hAnsi="Arial" w:cs="Arial"/>
                            <w:color w:val="24231D"/>
                            <w:sz w:val="18"/>
                            <w:szCs w:val="18"/>
                          </w:rPr>
                          <w:br/>
                          <w:t>The GLP were developed by a working party, consisting of representatives from leading financial institutions active in the green loan market, with the assistance of the Association of Corporate Treasurers, the International Capital Market Association and the European Banking Federation. </w:t>
                        </w:r>
                      </w:p>
                      <w:p w:rsidR="00420586" w:rsidRDefault="00420586">
                        <w:pPr>
                          <w:spacing w:after="100" w:afterAutospacing="1" w:line="225" w:lineRule="atLeast"/>
                          <w:rPr>
                            <w:rFonts w:ascii="Arial" w:hAnsi="Arial" w:cs="Arial"/>
                            <w:color w:val="24231D"/>
                            <w:sz w:val="18"/>
                            <w:szCs w:val="18"/>
                          </w:rPr>
                        </w:pPr>
                        <w:r>
                          <w:rPr>
                            <w:rFonts w:ascii="Arial" w:hAnsi="Arial" w:cs="Arial"/>
                            <w:color w:val="24231D"/>
                            <w:sz w:val="18"/>
                            <w:szCs w:val="18"/>
                          </w:rPr>
                          <w:t>They set out a clear framework of recommendations, to be applied by market participants on a deal-by-deal basis depending on the underlying characteristics of the transaction, based around the following four core components:</w:t>
                        </w:r>
                      </w:p>
                      <w:p w:rsidR="00420586" w:rsidRDefault="00420586">
                        <w:pPr>
                          <w:spacing w:after="100" w:afterAutospacing="1" w:line="225" w:lineRule="atLeast"/>
                          <w:rPr>
                            <w:rFonts w:ascii="Arial" w:hAnsi="Arial" w:cs="Arial"/>
                            <w:color w:val="24231D"/>
                            <w:sz w:val="18"/>
                            <w:szCs w:val="18"/>
                          </w:rPr>
                        </w:pPr>
                        <w:r>
                          <w:rPr>
                            <w:rStyle w:val="Strong"/>
                            <w:rFonts w:ascii="Arial" w:hAnsi="Arial" w:cs="Arial"/>
                            <w:color w:val="800000"/>
                            <w:sz w:val="18"/>
                            <w:szCs w:val="18"/>
                          </w:rPr>
                          <w:t>1. Use of Proceeds</w:t>
                        </w:r>
                        <w:r>
                          <w:rPr>
                            <w:rFonts w:ascii="Arial" w:hAnsi="Arial" w:cs="Arial"/>
                            <w:b/>
                            <w:bCs/>
                            <w:color w:val="800000"/>
                            <w:sz w:val="18"/>
                            <w:szCs w:val="18"/>
                          </w:rPr>
                          <w:br/>
                        </w:r>
                        <w:r>
                          <w:rPr>
                            <w:rStyle w:val="Strong"/>
                            <w:rFonts w:ascii="Arial" w:hAnsi="Arial" w:cs="Arial"/>
                            <w:color w:val="800000"/>
                            <w:sz w:val="18"/>
                            <w:szCs w:val="18"/>
                          </w:rPr>
                          <w:t>2. Process for Project Evaluation and Selection</w:t>
                        </w:r>
                        <w:r>
                          <w:rPr>
                            <w:rFonts w:ascii="Arial" w:hAnsi="Arial" w:cs="Arial"/>
                            <w:b/>
                            <w:bCs/>
                            <w:color w:val="800000"/>
                            <w:sz w:val="18"/>
                            <w:szCs w:val="18"/>
                          </w:rPr>
                          <w:br/>
                        </w:r>
                        <w:r>
                          <w:rPr>
                            <w:rStyle w:val="Strong"/>
                            <w:rFonts w:ascii="Arial" w:hAnsi="Arial" w:cs="Arial"/>
                            <w:color w:val="800000"/>
                            <w:sz w:val="18"/>
                            <w:szCs w:val="18"/>
                          </w:rPr>
                          <w:t>3. Management of Proceeds</w:t>
                        </w:r>
                        <w:r>
                          <w:rPr>
                            <w:rFonts w:ascii="Arial" w:hAnsi="Arial" w:cs="Arial"/>
                            <w:b/>
                            <w:bCs/>
                            <w:color w:val="800000"/>
                            <w:sz w:val="18"/>
                            <w:szCs w:val="18"/>
                          </w:rPr>
                          <w:br/>
                        </w:r>
                        <w:r>
                          <w:rPr>
                            <w:rStyle w:val="Strong"/>
                            <w:rFonts w:ascii="Arial" w:hAnsi="Arial" w:cs="Arial"/>
                            <w:color w:val="800000"/>
                            <w:sz w:val="18"/>
                            <w:szCs w:val="18"/>
                          </w:rPr>
                          <w:t>4. Reporting</w:t>
                        </w:r>
                      </w:p>
                      <w:p w:rsidR="00420586" w:rsidRDefault="00420586">
                        <w:pPr>
                          <w:spacing w:after="100" w:afterAutospacing="1" w:line="225" w:lineRule="atLeast"/>
                          <w:rPr>
                            <w:rFonts w:ascii="Arial" w:hAnsi="Arial" w:cs="Arial"/>
                            <w:color w:val="24231D"/>
                            <w:sz w:val="18"/>
                            <w:szCs w:val="18"/>
                          </w:rPr>
                        </w:pPr>
                        <w:r>
                          <w:rPr>
                            <w:rFonts w:ascii="Arial" w:hAnsi="Arial" w:cs="Arial"/>
                            <w:color w:val="24231D"/>
                            <w:sz w:val="18"/>
                            <w:szCs w:val="18"/>
                          </w:rPr>
                          <w:t>The need for this project was originally identified in 2017 by the Global Green Finance Council (GGFC), of which the LMA and ICMA are both founder members, and the APLMA, which established a working group in June 2016.  </w:t>
                        </w:r>
                        <w:r>
                          <w:rPr>
                            <w:rFonts w:ascii="Arial" w:hAnsi="Arial" w:cs="Arial"/>
                            <w:color w:val="24231D"/>
                            <w:sz w:val="18"/>
                            <w:szCs w:val="18"/>
                          </w:rPr>
                          <w:br/>
                        </w:r>
                        <w:r>
                          <w:rPr>
                            <w:rFonts w:ascii="Arial" w:hAnsi="Arial" w:cs="Arial"/>
                            <w:color w:val="24231D"/>
                            <w:sz w:val="18"/>
                            <w:szCs w:val="18"/>
                          </w:rPr>
                          <w:br/>
                          <w:t>The publication of the GLP marks the first step towards establishing widely accepted principles in the green lending space.  Looking ahead, the working party will be seeking to expand the scope of the GLP to capture alternative models of green finance.</w:t>
                        </w:r>
                      </w:p>
                      <w:p w:rsidR="00420586" w:rsidRDefault="00420586">
                        <w:pPr>
                          <w:spacing w:after="100" w:afterAutospacing="1" w:line="225" w:lineRule="atLeast"/>
                          <w:rPr>
                            <w:rFonts w:ascii="Arial" w:hAnsi="Arial" w:cs="Arial"/>
                            <w:color w:val="24231D"/>
                            <w:sz w:val="18"/>
                            <w:szCs w:val="18"/>
                          </w:rPr>
                        </w:pPr>
                        <w:r>
                          <w:rPr>
                            <w:rStyle w:val="Strong"/>
                            <w:rFonts w:ascii="Arial" w:hAnsi="Arial" w:cs="Arial"/>
                            <w:color w:val="000000"/>
                            <w:sz w:val="18"/>
                            <w:szCs w:val="18"/>
                          </w:rPr>
                          <w:t>Commenting on the principles, Clare Dawson, Chief Executive of the LMA, said:</w:t>
                        </w:r>
                      </w:p>
                      <w:p w:rsidR="00420586" w:rsidRDefault="00420586">
                        <w:pPr>
                          <w:spacing w:after="100" w:afterAutospacing="1" w:line="225" w:lineRule="atLeast"/>
                          <w:rPr>
                            <w:rFonts w:ascii="Arial" w:hAnsi="Arial" w:cs="Arial"/>
                            <w:color w:val="24231D"/>
                            <w:sz w:val="18"/>
                            <w:szCs w:val="18"/>
                          </w:rPr>
                        </w:pPr>
                        <w:r>
                          <w:rPr>
                            <w:rFonts w:ascii="Arial" w:hAnsi="Arial" w:cs="Arial"/>
                            <w:color w:val="24231D"/>
                            <w:sz w:val="18"/>
                            <w:szCs w:val="18"/>
                          </w:rPr>
                          <w:t>"This widely supported initiative marks an important first move towards establishing a framework for green lending across global wholesale markets.  The LMA will continue to work with market participants and other trade bodies to expand the range of loan products that can follow the GLP and thereby provide an alternative way of funding to a wider range of borrowers."</w:t>
                        </w:r>
                      </w:p>
                      <w:p w:rsidR="00420586" w:rsidRDefault="00420586">
                        <w:pPr>
                          <w:spacing w:after="100" w:afterAutospacing="1" w:line="225" w:lineRule="atLeast"/>
                          <w:rPr>
                            <w:rFonts w:ascii="Arial" w:hAnsi="Arial" w:cs="Arial"/>
                            <w:color w:val="24231D"/>
                            <w:sz w:val="18"/>
                            <w:szCs w:val="18"/>
                          </w:rPr>
                        </w:pPr>
                        <w:r>
                          <w:rPr>
                            <w:rStyle w:val="Strong"/>
                            <w:rFonts w:ascii="Arial" w:hAnsi="Arial" w:cs="Arial"/>
                            <w:color w:val="24231D"/>
                            <w:sz w:val="18"/>
                            <w:szCs w:val="18"/>
                          </w:rPr>
                          <w:t>Notes</w:t>
                        </w:r>
                        <w:r>
                          <w:rPr>
                            <w:rFonts w:ascii="Arial" w:hAnsi="Arial" w:cs="Arial"/>
                            <w:color w:val="24231D"/>
                            <w:sz w:val="18"/>
                            <w:szCs w:val="18"/>
                          </w:rPr>
                          <w:br/>
                        </w:r>
                        <w:r>
                          <w:rPr>
                            <w:rFonts w:ascii="Arial" w:hAnsi="Arial" w:cs="Arial"/>
                            <w:color w:val="24231D"/>
                            <w:sz w:val="18"/>
                            <w:szCs w:val="18"/>
                          </w:rPr>
                          <w:lastRenderedPageBreak/>
                          <w:t xml:space="preserve">The GGFC was created in 2017 with the objective to bring together key global and regional financial associations and other stakeholders involved in green and sustainable finance. The GGFC was founded by the Global Financial Market Association (GFMA), the International Capital Market Association (ICMA), the European Banking Federation (EBF), the European Covered Bond Council (EMF-ECBC), the Institute of International Finance (IIF), the Loan Market Association (LMA) and the World Federation of Exchanges. Other organisations are participating as observers, including CERES, the European Financial Roundtable (EFR) and </w:t>
                        </w:r>
                        <w:proofErr w:type="spellStart"/>
                        <w:r>
                          <w:rPr>
                            <w:rFonts w:ascii="Arial" w:hAnsi="Arial" w:cs="Arial"/>
                            <w:color w:val="24231D"/>
                            <w:sz w:val="18"/>
                            <w:szCs w:val="18"/>
                          </w:rPr>
                          <w:t>InsuranceEurope</w:t>
                        </w:r>
                        <w:proofErr w:type="spellEnd"/>
                        <w:r>
                          <w:rPr>
                            <w:rFonts w:ascii="Arial" w:hAnsi="Arial" w:cs="Arial"/>
                            <w:color w:val="24231D"/>
                            <w:sz w:val="18"/>
                            <w:szCs w:val="18"/>
                          </w:rPr>
                          <w:t>.</w:t>
                        </w:r>
                      </w:p>
                    </w:tc>
                  </w:tr>
                </w:tbl>
                <w:p w:rsidR="00420586" w:rsidRDefault="00420586">
                  <w:pPr>
                    <w:rPr>
                      <w:rFonts w:eastAsia="Times New Roman"/>
                      <w:sz w:val="20"/>
                      <w:szCs w:val="20"/>
                    </w:rPr>
                  </w:pPr>
                </w:p>
              </w:tc>
              <w:tc>
                <w:tcPr>
                  <w:tcW w:w="150" w:type="dxa"/>
                  <w:shd w:val="clear" w:color="auto" w:fill="FFFFFF"/>
                  <w:vAlign w:val="center"/>
                  <w:hideMark/>
                </w:tcPr>
                <w:p w:rsidR="00420586" w:rsidRDefault="00420586">
                  <w:r>
                    <w:lastRenderedPageBreak/>
                    <w:t> </w:t>
                  </w:r>
                </w:p>
              </w:tc>
            </w:tr>
          </w:tbl>
          <w:p w:rsidR="00420586" w:rsidRDefault="00420586">
            <w:pPr>
              <w:rPr>
                <w:rFonts w:eastAsia="Times New Roman"/>
                <w:sz w:val="20"/>
                <w:szCs w:val="20"/>
              </w:rPr>
            </w:pPr>
          </w:p>
        </w:tc>
      </w:tr>
    </w:tbl>
    <w:p w:rsidR="00420586" w:rsidRPr="00420586" w:rsidRDefault="00420586" w:rsidP="00420586"/>
    <w:sectPr w:rsidR="00420586" w:rsidRPr="004205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86"/>
    <w:rsid w:val="00420586"/>
    <w:rsid w:val="004A2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586"/>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0586"/>
    <w:rPr>
      <w:color w:val="24231D"/>
      <w:u w:val="single"/>
    </w:rPr>
  </w:style>
  <w:style w:type="character" w:styleId="Strong">
    <w:name w:val="Strong"/>
    <w:basedOn w:val="DefaultParagraphFont"/>
    <w:uiPriority w:val="22"/>
    <w:qFormat/>
    <w:rsid w:val="00420586"/>
    <w:rPr>
      <w:b/>
      <w:bCs/>
    </w:rPr>
  </w:style>
  <w:style w:type="paragraph" w:styleId="BalloonText">
    <w:name w:val="Balloon Text"/>
    <w:basedOn w:val="Normal"/>
    <w:link w:val="BalloonTextChar"/>
    <w:uiPriority w:val="99"/>
    <w:semiHidden/>
    <w:unhideWhenUsed/>
    <w:rsid w:val="00420586"/>
    <w:rPr>
      <w:rFonts w:ascii="Tahoma" w:hAnsi="Tahoma" w:cs="Tahoma"/>
      <w:sz w:val="16"/>
      <w:szCs w:val="16"/>
    </w:rPr>
  </w:style>
  <w:style w:type="character" w:customStyle="1" w:styleId="BalloonTextChar">
    <w:name w:val="Balloon Text Char"/>
    <w:basedOn w:val="DefaultParagraphFont"/>
    <w:link w:val="BalloonText"/>
    <w:uiPriority w:val="99"/>
    <w:semiHidden/>
    <w:rsid w:val="00420586"/>
    <w:rPr>
      <w:rFonts w:ascii="Tahom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586"/>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0586"/>
    <w:rPr>
      <w:color w:val="24231D"/>
      <w:u w:val="single"/>
    </w:rPr>
  </w:style>
  <w:style w:type="character" w:styleId="Strong">
    <w:name w:val="Strong"/>
    <w:basedOn w:val="DefaultParagraphFont"/>
    <w:uiPriority w:val="22"/>
    <w:qFormat/>
    <w:rsid w:val="00420586"/>
    <w:rPr>
      <w:b/>
      <w:bCs/>
    </w:rPr>
  </w:style>
  <w:style w:type="paragraph" w:styleId="BalloonText">
    <w:name w:val="Balloon Text"/>
    <w:basedOn w:val="Normal"/>
    <w:link w:val="BalloonTextChar"/>
    <w:uiPriority w:val="99"/>
    <w:semiHidden/>
    <w:unhideWhenUsed/>
    <w:rsid w:val="00420586"/>
    <w:rPr>
      <w:rFonts w:ascii="Tahoma" w:hAnsi="Tahoma" w:cs="Tahoma"/>
      <w:sz w:val="16"/>
      <w:szCs w:val="16"/>
    </w:rPr>
  </w:style>
  <w:style w:type="character" w:customStyle="1" w:styleId="BalloonTextChar">
    <w:name w:val="Balloon Text Char"/>
    <w:basedOn w:val="DefaultParagraphFont"/>
    <w:link w:val="BalloonText"/>
    <w:uiPriority w:val="99"/>
    <w:semiHidden/>
    <w:rsid w:val="00420586"/>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14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emailerdesign.co.uk/t/r-l-jysirjt-kkjlmjtdl-i/" TargetMode="External"/><Relationship Id="rId3" Type="http://schemas.openxmlformats.org/officeDocument/2006/relationships/settings" Target="settings.xml"/><Relationship Id="rId7" Type="http://schemas.openxmlformats.org/officeDocument/2006/relationships/hyperlink" Target="http://e.emailerdesign.co.uk/t/r-l-jysirjt-kkjlmjtdl-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Watson</dc:creator>
  <cp:lastModifiedBy>Ben Watson</cp:lastModifiedBy>
  <cp:revision>1</cp:revision>
  <dcterms:created xsi:type="dcterms:W3CDTF">2018-03-22T16:27:00Z</dcterms:created>
  <dcterms:modified xsi:type="dcterms:W3CDTF">2018-03-22T16:37:00Z</dcterms:modified>
</cp:coreProperties>
</file>